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 xmlns:w16se="http://schemas.microsoft.com/office/word/2015/wordml/symex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mc="http://schemas.openxmlformats.org/markup-compatibility/2006" xmlns:w15="http://schemas.microsoft.com/office/word/2012/wordml" xmlns:wne="http://schemas.microsoft.com/office/word/2006/wordml" xmlns:cx1="http://schemas.microsoft.com/office/drawing/2015/9/8/chartex" xmlns:w14="http://schemas.microsoft.com/office/word/2010/wordml" xmlns:cx="http://schemas.microsoft.com/office/drawing/2014/chartex" xmlns:w10="urn:schemas-microsoft-com:office:word" xmlns:wpi="http://schemas.microsoft.com/office/word/2010/wordprocessingInk" xmlns:m="http://schemas.openxmlformats.org/officeDocument/2006/math" xmlns:o="urn:schemas-microsoft-com:office:office" xmlns:wps="http://schemas.microsoft.com/office/word/2010/wordprocessingShape" xmlns:r="http://schemas.openxmlformats.org/officeDocument/2006/relationships" xmlns:wpc="http://schemas.microsoft.com/office/word/2010/wordprocessingCanvas" mc:Ignorable="w14 w15 w16se wp14">
  <w:body>
    <w:p>
      <w:pPr>
        <w:pStyle w:val="Normal"/>
        <w:rPr>
          <w:b w:val="1"/>
          <w:sz w:val="32"/>
          <w:szCs w:val="32"/>
          <w:rFonts w:hint="eastAsia"/>
        </w:rPr>
      </w:pPr>
      <w:r w:rsidRPr="0052203A" w:rsidR="008F69F0">
        <w:rPr>
          <w:b w:val="1"/>
          <w:sz w:val="32"/>
          <w:szCs w:val="32"/>
          <w:rFonts w:hint="eastAsia"/>
        </w:rPr>
        <w:t xml:space="preserve">附件</w:t>
      </w:r>
      <w:r w:rsidRPr="0052203A" w:rsidR="00262D3B">
        <w:rPr>
          <w:b w:val="1"/>
          <w:sz w:val="32"/>
          <w:szCs w:val="32"/>
          <w:rFonts w:hint="eastAsia"/>
        </w:rPr>
      </w:r>
    </w:p>
    <w:p>
      <w:pPr>
        <w:pStyle w:val="Normal"/>
        <w:rPr>
          <w:rFonts w:hint="eastAsia"/>
        </w:rPr>
      </w:pPr>
      <w:r w:rsidR="008F69F0">
        <w:rPr>
          <w:rFonts w:hint="eastAsia"/>
        </w:rPr>
      </w:r>
    </w:p>
    <w:p>
      <w:pPr>
        <w:pStyle w:val="Normal"/>
        <w:spacing w:afterAutospacing="false" w:beforeAutospacing="false" w:line="600" w:lineRule="exact"/>
        <w:rPr>
          <w:b w:val="1"/>
          <w:bCs w:val="1"/>
          <w:sz w:val="44"/>
          <w:szCs w:val="44"/>
          <w:rFonts w:hint="eastAsia"/>
        </w:rPr>
        <w:jc w:val="center"/>
      </w:pPr>
      <w:r w:rsidR="008F69F0">
        <w:rPr>
          <w:b w:val="1"/>
          <w:bCs w:val="1"/>
          <w:sz w:val="44"/>
          <w:szCs w:val="44"/>
          <w:rFonts w:hint="eastAsia"/>
        </w:rPr>
        <w:t xml:space="preserve">2022年安徽省外商投资企业百强榜单</w:t>
      </w:r>
      <w:r w:rsidR="008F69F0">
        <w:rPr>
          <w:b w:val="1"/>
          <w:bCs w:val="1"/>
          <w:sz w:val="44"/>
          <w:szCs w:val="44"/>
          <w:rFonts w:ascii="宋体" w:hAnsi="宋体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b w:val="1"/>
          <w:bCs w:val="1"/>
          <w:sz w:val="32"/>
          <w:szCs w:val="32"/>
        </w:rPr>
      </w:pPr>
      <w:r w:rsidR="008F69F0">
        <w:rPr>
          <w:b w:val="1"/>
          <w:bCs w:val="1"/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pacing w:val="-11"/>
          <w:sz w:val="32"/>
          <w:szCs w:val="32"/>
          <w:rFonts w:ascii="宋体" w:hAnsi="宋体" w:hint="eastAsia"/>
        </w:rPr>
        <w:jc w:val="center"/>
      </w:pPr>
      <w:r w:rsidR="008F69F0">
        <w:rPr>
          <w:spacing w:val="-11"/>
          <w:sz w:val="32"/>
          <w:szCs w:val="32"/>
          <w:rFonts w:ascii="宋体" w:hAnsi="宋体" w:hint="eastAsia"/>
        </w:rPr>
        <w:t xml:space="preserve">（一）销售（营业）收入优秀企业</w:t>
      </w:r>
      <w:r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tbl>
      <w:tblPr>
        <w:tblW w:w="5976" w:type="dxa"/>
        <w:jc w:val="center"/>
        <w:tblInd w:type="dxa" w:w="0"/>
        <w:tblLook w:noVBand="0" w:noHBand="0" w:lastColumn="0" w:firstColumn="0" w:lastRow="0" w:firstRow="0" w:val="04a0"/>
        <w:tblCellMar>
          <w:top w:type="dxa" w:w="0"/>
          <w:bottom w:type="dxa" w:w="0"/>
          <w:left w:type="dxa" w:w="108"/>
          <w:right w:type="dxa" w:w="108"/>
        </w:tblCellMar>
        <w:tblLayout w:type="auto"/>
      </w:tblPr>
      <w:tblGrid>
        <w:gridCol w:w="5976"/>
      </w:tblGrid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联宝（合肥）电子科技有限公司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马鞍山钢铁股份有限公司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全威（铜陵）铜业科技有限公司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金隆铜业有限公司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蔚来汽车销售服务有限公司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蔚来汽车（安徽）有限公司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广东美的集团芜湖制冷设备有限公司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长虹美菱股份有限公司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联合利华服务（合肥）有限公司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合肥美的电冰箱有限公司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合肥美的洗衣机有限公司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合肥华凌股份有限公司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安徽康佳电子有限公司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联合利华（中国）有限公司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安徽美芝精密制造有限公司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信义光伏产业（安徽）控股有限公司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三只松鼠股份有限公司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博西华家用电器有限公司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安徽古井贡酒股份有限公司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安徽英科医疗用品有限公司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睿力集成电路有限公司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大陆马牌轮胎（中国）有限公司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中粮生物科技股份有限公司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合肥晶合集成电路股份有限公司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百丽鞋业（宿州）有限公司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安徽省天然气开发股份有限公司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铜陵精达里亚特种漆包线有限公司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马钢（合肥）钢材加工有限公司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益海嘉里（安徽）粮油工业有限公司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淮南平圩第三发电有限责任公司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洽洽食品股份有限公司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安徽佳通乘用子午线轮胎有限公司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日立建机（中国）有限公司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信义节能玻璃（芜湖）有限公司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惠而浦（中国）股份有限公司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康宁显示科技（合肥）有限公司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黄山永新股份有限公司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芜湖伯特利汽车安全系统股份有限公司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阳光储能技术有限公司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威灵（芜湖）电机制造有限公司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圣戈班管道系统有限公司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大陆汽车车身电子系统（芜湖）有限公司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中粮粮油工业（巢湖）有限公司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安徽皖通高速公路股份有限公司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马瑞利汽车零部件（芜湖）有限公司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安徽安利材料科技股份有限公司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中联农业机械股份有限公司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杰锋汽车动力系统股份有限公司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芜湖发电有限责任公司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纬湃汽车电子（芜湖）有限公司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瑞福德汽车金融有限公司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安徽淮南平圩发电有限责任公司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江森自控日立空调（芜湖）有限公司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淮南平圩第二发电有限责任公司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合肥太古可口可乐饮料有限公司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华润雪花啤酒（安徽）有限公司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</w:tbl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  <w:rFonts w:hint="eastAsia"/>
        </w:rPr>
        <w:jc w:val="center"/>
      </w:pPr>
      <w:r w:rsidR="008F69F0">
        <w:rPr>
          <w:sz w:val="32"/>
          <w:szCs w:val="32"/>
          <w:rFonts w:hint="eastAsia"/>
        </w:rPr>
        <w:t xml:space="preserve">（二）</w:t>
      </w:r>
      <w:r w:rsidR="008F69F0">
        <w:rPr>
          <w:sz w:val="32"/>
          <w:szCs w:val="32"/>
          <w:rFonts w:ascii="宋体" w:hAnsi="宋体" w:hint="eastAsia"/>
        </w:rPr>
        <w:t xml:space="preserve">进出口总额优秀企业</w:t>
      </w:r>
      <w:r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tbl>
      <w:tblPr>
        <w:tblW w:w="4701" w:type="dxa"/>
        <w:jc w:val="center"/>
        <w:tblInd w:type="dxa" w:w="0"/>
        <w:tblLook w:noVBand="0" w:noHBand="0" w:lastColumn="0" w:firstColumn="0" w:lastRow="0" w:firstRow="0" w:val="04a0"/>
        <w:tblCellMar>
          <w:top w:type="dxa" w:w="0"/>
          <w:bottom w:type="dxa" w:w="0"/>
          <w:left w:type="dxa" w:w="108"/>
          <w:right w:type="dxa" w:w="108"/>
        </w:tblCellMar>
        <w:tblLayout w:type="auto"/>
      </w:tblPr>
      <w:tblGrid>
        <w:gridCol w:w="5976"/>
      </w:tblGrid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联宝(合肥)电子科技有限公司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金隆铜业有限公司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马鞍山钢铁股份有限公司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阳光电源股份有限公司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合肥华凌股份有限公司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芜湖长信科技股份有限公司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长虹美菱股份有限公司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惠而浦（中国）股份有限公司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合肥美的洗衣机有限公司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江森自控日立空调(芜湖)有限公司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中达电子（芜湖）有限公司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阳光储能技术有限公司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中粮生物科技股份有限公司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日立建机（中国）有限公司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安徽美芝制冷设备有限公司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大陆马牌轮胎（中国）有限公司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康宁汽车环保（合肥）有限公司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安徽佳通乘用子午线轮胎有限公司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日达科技（天长）有限公司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安徽邦达兴供应链管理有限公司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合肥普尔德医疗用品有限公司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马鞍山洪富电子科技有限公司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安徽康佳电子有限公司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三菱电机捷敏功率半导体(合肥)有限公司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安徽巨成精细化工有限公司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安徽京信电子有限公司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联合利华（中国）有限公司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合肥兆芯电子有限公司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信义光伏产业（安徽）控股有限公司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安徽安利材料科技股份有限公司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80" w:hRule="atLeast"/>
        </w:trPr>
        <w:tc>
          <w:tcPr>
            <w:tcW w:w="5976" w:type="dxa"/>
            <w:vAlign w:val="center"/>
            <w:tcBorders>
              <w:top w:val="nil" w:shadow="off" w:frame="off"/>
              <w:left w:val="nil" w:shadow="off" w:frame="off"/>
              <w:bottom w:val="nil" w:shadow="off" w:frame="off"/>
              <w:right w:val="nil" w:shadow="off" w:frame="off"/>
            </w:tcBorders>
            <w:textDirection w:val="lrTb"/>
            <w:noWrap/>
          </w:tcPr>
          <w:p>
            <w:pPr>
              <w:pStyle w:val="Normal"/>
              <w:autoSpaceDE w:val="off"/>
              <w:autoSpaceDN w:val="off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大陆汽车车身电子系统（芜湖）有限公司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</w:tbl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  <w:rFonts w:hint="eastAsia"/>
        </w:rPr>
        <w:jc w:val="center"/>
      </w:pPr>
      <w:r w:rsidR="008F69F0">
        <w:rPr>
          <w:sz w:val="32"/>
          <w:szCs w:val="32"/>
          <w:rFonts w:hint="eastAsia"/>
        </w:rPr>
        <w:t xml:space="preserve">（三）</w:t>
      </w:r>
      <w:r w:rsidR="008F69F0">
        <w:rPr>
          <w:sz w:val="32"/>
          <w:szCs w:val="32"/>
          <w:rFonts w:ascii="宋体" w:hAnsi="宋体" w:hint="eastAsia"/>
        </w:rPr>
        <w:t xml:space="preserve">纳税贡献优秀企业</w:t>
      </w:r>
      <w:r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tbl>
      <w:tblPr>
        <w:tblW w:w="4111" w:type="dxa"/>
        <w:jc w:val="center"/>
        <w:tblInd w:type="dxa" w:w="0"/>
        <w:tblLook w:noVBand="0" w:noHBand="0" w:lastColumn="0" w:firstColumn="0" w:lastRow="0" w:firstRow="0" w:val="04a0"/>
        <w:tblCellMar>
          <w:top w:type="dxa" w:w="0"/>
          <w:bottom w:type="dxa" w:w="0"/>
          <w:left w:type="dxa" w:w="108"/>
          <w:right w:type="dxa" w:w="108"/>
        </w:tblCellMar>
        <w:tblLayout w:type="auto"/>
      </w:tblPr>
      <w:tblGrid>
        <w:gridCol w:w="5336"/>
      </w:tblGrid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马鞍山钢铁股份有限公司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安徽古井贡酒股份有限公司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中粮生物科技股份有限公司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信义光伏产业（安徽）控股有限公司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联合利华（中国）有限公司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大陆马牌轮胎（中国）有限公司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华润置地（合肥）有限公司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安徽皖通高速公路股份有限公司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康宁显示科技（合肥）有限公司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广东美的集团芜湖制冷设备有限公司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百丽鞋业（宿州）有限公司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联合利华服务（合肥）有限公司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博西华家用电器有限公司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三只松鼠股份有限公司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信义节能玻璃（芜湖）有限公司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安庆旺旺食品有限公司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康宁汽车环保（合肥）有限公司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日立建机（中国）有限公司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大众汽车（安徽）有限公司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金隆铜业有限公司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安徽美芝精密制造有限公司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华润雪花啤酒（六安）有限公司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合肥美的洗衣机有限公司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瑞福德汽车金融有限公司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马瑞利汽车零部件（芜湖）有限公司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联宝（合肥）电子科技有限公司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安徽金安矿业有限公司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5336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淮南平圩第三发电有限责任公司</w:t>
            </w:r>
            <w:r w:rsidRPr="008F69F0"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/>
              </w:rPr>
            </w:r>
          </w:p>
        </w:tc>
      </w:tr>
    </w:tbl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p>
      <w:pPr>
        <w:pStyle w:val="Normal"/>
        <w:spacing w:afterAutospacing="false" w:beforeAutospacing="false" w:line="600" w:lineRule="exact"/>
        <w:ind w:firstLine="640" w:firstLineChars="200"/>
        <w:rPr>
          <w:sz w:val="32"/>
          <w:szCs w:val="32"/>
          <w:rFonts w:hint="eastAsia"/>
        </w:rPr>
        <w:jc w:val="center"/>
      </w:pPr>
      <w:bookmarkStart w:name="_GoBack" w:id="0"/>
      <w:bookmarkEnd w:id="0"/>
      <w:r w:rsidR="008F69F0">
        <w:rPr>
          <w:sz w:val="32"/>
          <w:szCs w:val="32"/>
          <w:rFonts w:hint="eastAsia"/>
        </w:rPr>
        <w:t xml:space="preserve">（四）</w:t>
      </w:r>
      <w:r w:rsidR="008F69F0">
        <w:rPr>
          <w:sz w:val="32"/>
          <w:szCs w:val="32"/>
          <w:rFonts w:ascii="宋体" w:hAnsi="宋体" w:hint="eastAsia"/>
        </w:rPr>
        <w:t xml:space="preserve">创造就业优秀企业</w:t>
      </w:r>
      <w:r w:rsidRPr="008F69F0" w:rsidR="008F69F0">
        <w:rPr>
          <w:sz w:val="32"/>
          <w:szCs w:val="32"/>
        </w:rPr>
      </w:r>
    </w:p>
    <w:p>
      <w:pPr>
        <w:pStyle w:val="Normal"/>
        <w:autoSpaceDE w:val="off"/>
        <w:autoSpaceDN w:val="off"/>
        <w:spacing w:afterAutospacing="false" w:beforeAutospacing="false" w:line="440" w:lineRule="exact"/>
        <w:rPr>
          <w:sz w:val="32"/>
          <w:szCs w:val="32"/>
        </w:rPr>
      </w:pPr>
      <w:r w:rsidR="008F69F0">
        <w:rPr>
          <w:sz w:val="32"/>
          <w:szCs w:val="32"/>
        </w:rPr>
      </w:r>
    </w:p>
    <w:tbl>
      <w:tblPr>
        <w:tblW w:w="6190" w:type="dxa"/>
        <w:jc w:val="center"/>
        <w:tblInd w:type="dxa" w:w="0"/>
        <w:tblLook w:noVBand="0" w:noHBand="0" w:lastColumn="0" w:firstColumn="0" w:lastRow="0" w:firstRow="0" w:val="04a0"/>
        <w:tblCellMar>
          <w:top w:type="dxa" w:w="0"/>
          <w:bottom w:type="dxa" w:w="0"/>
          <w:left w:type="dxa" w:w="108"/>
          <w:right w:type="dxa" w:w="108"/>
        </w:tblCellMar>
        <w:tblLayout w:type="auto"/>
      </w:tblPr>
      <w:tblGrid>
        <w:gridCol w:w="6190"/>
      </w:tblGrid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马鞍山钢铁股份有限公司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合肥华凌股份有限公司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申洲针织（安徽）有限公司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安徽古井贡酒股份有限公司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安徽佳通乘用子午线轮胎有限公司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联宝（合肥）电子科技有限公司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博西华家用电器有限公司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长虹美菱股份有限公司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安徽英科医疗用品有限公司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合肥美的洗衣机有限公司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信义光伏产业（安徽）控股有限公司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合肥晶合集成电路股份有限公司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大千纺织（安徽）有限公司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华丰电子科技（芜湖）有限公司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安徽美芝精密制造有限公司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安徽安利材料科技股份有限公司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嘉吉动物蛋白（安徽）有限公司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洽洽食品股份有限公司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日立建机（中国）有限公司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黄山永新股份有限公司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百丽鞋业（宿州）有限公司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威灵（芜湖）电机制造有限公司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合肥太古可口可乐饮料有限公司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  <w:tr>
        <w:trPr>
          <w:trHeight w:val="290" w:hRule="atLeast"/>
        </w:trPr>
        <w:tc>
          <w:tcPr>
            <w:tcW w:w="6190" w:type="dxa"/>
            <w:vAlign w:val="center"/>
            <w:textDirection w:val="lrTb"/>
            <w:noWrap/>
          </w:tcPr>
          <w:p>
            <w:pPr>
              <w:pStyle w:val="Normal"/>
              <w:spacing w:afterAutospacing="false" w:beforeAutospacing="false" w:line="440" w:lineRule="exact"/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jc w:val="center"/>
            </w:pPr>
            <w:r w:rsidR="008F69F0">
              <w:rPr>
                <w:color w:val="000000"/>
                <w:kern w:val="0"/>
                <w:sz w:val="32"/>
                <w:szCs w:val="32"/>
                <w:lang w:bidi="ar"/>
                <w:rFonts w:ascii="宋体" w:hAnsi="宋体" w:hint="eastAsia"/>
              </w:rPr>
              <w:t xml:space="preserve">大陆马牌轮胎（中国）有限公司</w:t>
            </w:r>
            <w:r w:rsidRPr="008F69F0" w:rsidR="008F69F0">
              <w:rPr>
                <w:color w:val="000000"/>
                <w:sz w:val="32"/>
                <w:szCs w:val="32"/>
                <w:rFonts w:ascii="宋体" w:hAnsi="宋体"/>
              </w:rPr>
            </w:r>
          </w:p>
        </w:tc>
      </w:tr>
    </w:tbl>
    <w:sectPr>
      <w:type w:val="nextPage"/>
      <w:docGrid w:type="lines" w:linePitch="312"/>
      <w:pgSz w:w="11906" w:h="16838"/>
      <w:pgMar w:top="1440" w:right="1800" w:bottom="1440" w:left="1800" w:header="851" w:footer="992" w:gutter="0"/>
      <w:cols w:space="425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a="http://schemas.openxmlformats.org/drawingml/2006/main" xmlns:wpi="http://schemas.microsoft.com/office/word/2010/wordprocessingInk" xmlns:w10="urn:schemas-microsoft-com:office:word" xmlns:m="http://schemas.openxmlformats.org/officeDocument/2006/math" xmlns:w="http://schemas.openxmlformats.org/wordprocessingml/2006/main" xmlns:o="urn:schemas-microsoft-com:office:office" xmlns:wp="http://schemas.openxmlformats.org/drawingml/2006/wordprocessingDrawing" xmlns:wpg="http://schemas.microsoft.com/office/word/2010/wordprocessingGroup" xmlns:wp14="http://schemas.microsoft.com/office/word/2010/wordprocessingDrawing" xmlns:v="urn:schemas-microsoft-com:vml" xmlns:w14="http://schemas.microsoft.com/office/word/2010/wordml" xmlns:mc="http://schemas.openxmlformats.org/markup-compatibility/2006" xmlns:wne="http://schemas.microsoft.com/office/word/2006/wordml" xmlns:wpc="http://schemas.microsoft.com/office/word/2010/wordprocessingCanvas" xmlns:r="http://schemas.openxmlformats.org/officeDocument/2006/relationships" xmlns:wps="http://schemas.microsoft.com/office/word/2010/wordprocessingShape" mc:Ignorable="w14 wp14">
  <w:abstractNum w:abstractNumId="0">
    <w:nsid w:val="806F93CF"/>
    <w:multiLevelType w:val="singleLevel"/>
    <w:tmpl w:val="806F93CF"/>
    <w:lvl w:ilvl="0" w:tentative="false">
      <w:start w:val="1"/>
      <w:numFmt w:val="chineseCounting"/>
      <w:suff w:val="nothing"/>
      <w:lvlText w:val="（%1）" w:null="false"/>
      <w:lvlJc w:val="left"/>
      <w:pPr>
        <w:pStyle w:val="Normal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420"/>
  <w:displayHorizontalDrawingGridEvery w:val="0"/>
  <w:displayVerticalDrawingGridEvery w:val="2"/>
  <w:zoom w:percent="100"/>
  <w:compat>
    <w:balanceSingleByteDoubleByteWidth/>
    <w:doNotLeaveBackslashAlone/>
    <w:ulTrailSpace/>
    <w:doNotExpandShiftReturn/>
    <w:adjustLineHeightInTable/>
    <w:compatSetting w:val="11" w:uri="http://schemas.microsoft.com/office/word" w:name="compatibilityMode"/>
  </w:compat>
  <w:rsids/>
  <w:clrSchemeMapping w:bg2="lt2" w:tx2="dk2" w:bg1="lt1" w:tx1="dk1"/>
  <w:decimalSymbol/>
  <w:listSeparator/>
</w:settings>
</file>

<file path=word/styles.xml><?xml version="1.0" encoding="utf-8"?>
<w:styles xmlns:w="http://schemas.openxmlformats.org/wordprocessingml/2006/main">
  <w:docDefaults>
    <w:rPrDefault>
      <w:rPr/>
    </w:rPrDefault>
    <w:pPrDefault/>
  </w:docDefaults>
  <w:style w:type="paragraph" w:styleId="Normal" w:default="0">
    <w:name w:val="Normal"/>
    <w:link w:val="Normal"/>
    <w:pPr>
      <w:widowControl w:val="off"/>
      <w:jc w:val="both"/>
    </w:pPr>
    <w:rPr>
      <w:kern w:val="2"/>
      <w:sz w:val="21"/>
      <w:szCs w:val="22"/>
      <w:lang w:val="en-US" w:eastAsia="zh-CN" w:bidi="ar-SA"/>
    </w:rPr>
  </w:style>
  <w:style w:type="character" w:styleId="NormalCharacter" w:default="0">
    <w:name w:val="默认段落字体"/>
    <w:link w:val="Normal"/>
    <w:semiHidden/>
  </w:style>
  <w:style w:type="table" w:styleId="TableNormal" w:default="0">
    <w:name w:val="普通表格"/>
    <w:link w:val="Normal"/>
    <w:semiHidden/>
  </w:style>
  <w:style w:type="numbering" w:styleId="NormalList" w:default="0">
    <w:name w:val="无列表"/>
    <w:link w:val="Normal"/>
    <w:semiHidden/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numbering" Target="numbering.xml" /><Relationship Id="rId1" Type="http://schemas.openxmlformats.org/officeDocument/2006/relationships/settings" Target="settings.xml" /><Relationship Id="rId2" Type="http://schemas.openxmlformats.org/officeDocument/2006/relationships/fontTable" Target="fontTable.xml" /><Relationship Id="rId0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>
  <Template/>
  <TotalTime>0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terms="http://purl.org/dc/terms/" xmlns:cp="http://schemas.openxmlformats.org/package/2006/metadata/core-properties" xmlns:dc="http://purl.org/dc/elements/1.1/" xmlns:dcmitype="http://purl.org/dc/dcmitype/">
  <dc:title/>
  <dc:subject/>
  <dc:creator/>
  <cp:keywords/>
  <dc:description/>
  <cp:lastModifiedBy/>
  <cp:revision>0</cp:revision>
</cp:coreProperties>
</file>